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899"/>
      </w:tblGrid>
      <w:tr w:rsidR="00A4533F" w:rsidRPr="00F878F5" w14:paraId="0E2B1B33" w14:textId="77777777" w:rsidTr="009E3532">
        <w:trPr>
          <w:trHeight w:val="2110"/>
        </w:trPr>
        <w:tc>
          <w:tcPr>
            <w:tcW w:w="2166" w:type="dxa"/>
          </w:tcPr>
          <w:p w14:paraId="11CD4C48" w14:textId="77777777" w:rsidR="00A4533F" w:rsidRDefault="00A4533F" w:rsidP="009E3532">
            <w:r w:rsidRPr="00F275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C9F84" wp14:editId="2E20659E">
                  <wp:extent cx="1188907" cy="1306060"/>
                  <wp:effectExtent l="0" t="0" r="0" b="8890"/>
                  <wp:docPr id="1" name="Рисунок 1" descr="C:\Users\ПлаксинСЮ\Desktop\ЛОГО 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лаксинСЮ\Desktop\ЛОГО 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413" cy="1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9" w:type="dxa"/>
            <w:shd w:val="clear" w:color="auto" w:fill="FFFFFF" w:themeFill="background1"/>
          </w:tcPr>
          <w:p w14:paraId="0BF43223" w14:textId="77777777" w:rsidR="00A4533F" w:rsidRPr="00F275B9" w:rsidRDefault="00A4533F" w:rsidP="009E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4233C" w14:textId="77777777" w:rsidR="00A4533F" w:rsidRPr="00F275B9" w:rsidRDefault="00A4533F" w:rsidP="009E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B9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РОСТОВСКОЕ РЕГИОНАЛЬНОЕ ОТРАСЛЕВОЕ ОБЪЕДИНЕНИЕ</w:t>
            </w:r>
          </w:p>
          <w:p w14:paraId="15388952" w14:textId="77777777" w:rsidR="00A4533F" w:rsidRPr="00F275B9" w:rsidRDefault="00A4533F" w:rsidP="009E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B9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РАБОТОДАТЕЛЕЙ ФЕДЕРАЛЬНОГО КООРДИНАЦИОННОГО ЦЕНТРА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5B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 ОХРАННЫХ СТРУКТУР</w:t>
            </w:r>
          </w:p>
          <w:p w14:paraId="34F8BE12" w14:textId="77777777" w:rsidR="00A4533F" w:rsidRPr="00F275B9" w:rsidRDefault="00A4533F" w:rsidP="009E353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B9">
              <w:rPr>
                <w:rFonts w:ascii="Times New Roman" w:hAnsi="Times New Roman" w:cs="Times New Roman"/>
                <w:b/>
                <w:sz w:val="24"/>
                <w:szCs w:val="24"/>
              </w:rPr>
              <w:t>(РООР ФКЦ «РОСТОВ»)</w:t>
            </w:r>
          </w:p>
          <w:p w14:paraId="45A0839E" w14:textId="28B915C9" w:rsidR="00A4533F" w:rsidRPr="00252258" w:rsidRDefault="00A4533F" w:rsidP="009E3532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52258">
              <w:rPr>
                <w:rFonts w:ascii="Times New Roman" w:hAnsi="Times New Roman" w:cs="Times New Roman"/>
                <w:sz w:val="16"/>
                <w:szCs w:val="16"/>
              </w:rPr>
              <w:t>344065, г. Ростов-на-Дону, ул. 50-летия Ростсельмаша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здание 6</w:t>
            </w:r>
            <w:r w:rsidR="00A251D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52258">
              <w:rPr>
                <w:rFonts w:ascii="Times New Roman" w:hAnsi="Times New Roman" w:cs="Times New Roman"/>
                <w:sz w:val="16"/>
                <w:szCs w:val="16"/>
              </w:rPr>
              <w:t xml:space="preserve"> офис 18, </w:t>
            </w:r>
            <w:proofErr w:type="gramStart"/>
            <w:r w:rsidRPr="00252258">
              <w:rPr>
                <w:rFonts w:ascii="Times New Roman" w:hAnsi="Times New Roman" w:cs="Times New Roman"/>
                <w:sz w:val="16"/>
                <w:szCs w:val="16"/>
              </w:rPr>
              <w:t>Тел.:+</w:t>
            </w:r>
            <w:proofErr w:type="gramEnd"/>
            <w:r w:rsidRPr="00252258">
              <w:rPr>
                <w:rFonts w:ascii="Times New Roman" w:hAnsi="Times New Roman" w:cs="Times New Roman"/>
                <w:sz w:val="16"/>
                <w:szCs w:val="16"/>
              </w:rPr>
              <w:t>7(928)125-27-80</w:t>
            </w:r>
          </w:p>
          <w:p w14:paraId="39E61E63" w14:textId="77777777" w:rsidR="00A4533F" w:rsidRPr="00252258" w:rsidRDefault="00A4533F" w:rsidP="009E3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58">
              <w:rPr>
                <w:rFonts w:ascii="Times New Roman" w:hAnsi="Times New Roman" w:cs="Times New Roman"/>
                <w:sz w:val="16"/>
                <w:szCs w:val="16"/>
              </w:rPr>
              <w:t>ИНН/КПП 6165207858/616501001 ОГРН 1176100001043</w:t>
            </w:r>
          </w:p>
          <w:p w14:paraId="4C289B93" w14:textId="77777777" w:rsidR="00A4533F" w:rsidRPr="00F878F5" w:rsidRDefault="00A4533F" w:rsidP="009E3532">
            <w:pPr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2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878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522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878F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F878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97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info</w:t>
            </w:r>
            <w:r w:rsidRPr="00F878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@61.</w:t>
            </w:r>
            <w:proofErr w:type="spellStart"/>
            <w:r w:rsidRPr="00897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fkc</w:t>
            </w:r>
            <w:proofErr w:type="spellEnd"/>
            <w:r w:rsidRPr="00F878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897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ros</w:t>
            </w:r>
            <w:proofErr w:type="spellEnd"/>
            <w:r w:rsidRPr="00F878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897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14:paraId="4CE5278D" w14:textId="77777777" w:rsidR="00A4533F" w:rsidRPr="00F878F5" w:rsidRDefault="00A4533F" w:rsidP="009E3532"/>
        </w:tc>
      </w:tr>
    </w:tbl>
    <w:p w14:paraId="26BF383D" w14:textId="5F8585DA" w:rsidR="00A4533F" w:rsidRPr="00286E8E" w:rsidRDefault="00A4533F" w:rsidP="00286E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</w:tblGrid>
      <w:tr w:rsidR="00A4533F" w:rsidRPr="00286E8E" w14:paraId="16C4D542" w14:textId="77777777" w:rsidTr="00286E8E">
        <w:tc>
          <w:tcPr>
            <w:tcW w:w="4810" w:type="dxa"/>
          </w:tcPr>
          <w:p w14:paraId="13B80C84" w14:textId="3CB3ADED" w:rsidR="00A4533F" w:rsidRPr="00286E8E" w:rsidRDefault="00A251DF" w:rsidP="00456D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 w:rsidR="00456D7F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казчикам</w:t>
            </w:r>
          </w:p>
        </w:tc>
      </w:tr>
    </w:tbl>
    <w:p w14:paraId="18360C63" w14:textId="77777777" w:rsidR="00A4533F" w:rsidRDefault="00A4533F" w:rsidP="008E796B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54B281" w14:textId="77777777" w:rsidR="0068281E" w:rsidRDefault="0068281E" w:rsidP="008E796B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C85E969" w14:textId="7B229630" w:rsidR="00A4533F" w:rsidRDefault="00A4533F" w:rsidP="008E796B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2779">
        <w:rPr>
          <w:rFonts w:ascii="Times New Roman" w:hAnsi="Times New Roman" w:cs="Times New Roman"/>
          <w:noProof/>
          <w:sz w:val="28"/>
          <w:szCs w:val="28"/>
        </w:rPr>
        <w:t xml:space="preserve">Уважаемый  </w:t>
      </w:r>
      <w:r w:rsidR="00A251DF">
        <w:rPr>
          <w:rFonts w:ascii="Times New Roman" w:hAnsi="Times New Roman" w:cs="Times New Roman"/>
          <w:noProof/>
          <w:sz w:val="28"/>
          <w:szCs w:val="28"/>
        </w:rPr>
        <w:t>Заказчик!</w:t>
      </w:r>
    </w:p>
    <w:p w14:paraId="68584ADE" w14:textId="77777777" w:rsidR="00A4533F" w:rsidRDefault="00A4533F" w:rsidP="004D237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25724D" w14:textId="77777777" w:rsidR="00456D7F" w:rsidRDefault="00456D7F" w:rsidP="004D237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039E87" w14:textId="77777777" w:rsidR="00456D7F" w:rsidRDefault="00456D7F" w:rsidP="004D237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3D0BE1" w14:textId="4D9EA3ED" w:rsidR="00A4533F" w:rsidRPr="009740B9" w:rsidRDefault="00A4533F" w:rsidP="004D237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0B9">
        <w:rPr>
          <w:rFonts w:ascii="Times New Roman" w:hAnsi="Times New Roman" w:cs="Times New Roman"/>
          <w:sz w:val="28"/>
          <w:szCs w:val="28"/>
        </w:rPr>
        <w:t>В соответствии с ч. 22 ст. 22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(далее- 44-ФЗ)</w:t>
      </w:r>
      <w:r w:rsidRPr="009740B9">
        <w:rPr>
          <w:rFonts w:ascii="Times New Roman" w:hAnsi="Times New Roman" w:cs="Times New Roman"/>
          <w:sz w:val="28"/>
          <w:szCs w:val="28"/>
        </w:rPr>
        <w:t>, Постановлением Правительства от 08.05.2020г. № 645, частная охранная деятельность отнесена к сфере деятельности, в которой при осуществлении закупок устанавливается особый порядок определения НМЦК</w:t>
      </w:r>
      <w:r>
        <w:rPr>
          <w:rFonts w:ascii="Times New Roman" w:hAnsi="Times New Roman" w:cs="Times New Roman"/>
          <w:sz w:val="28"/>
          <w:szCs w:val="28"/>
        </w:rPr>
        <w:t xml:space="preserve"> (начальной максимальной цены контракта)</w:t>
      </w:r>
      <w:r w:rsidRPr="009740B9">
        <w:rPr>
          <w:rFonts w:ascii="Times New Roman" w:hAnsi="Times New Roman" w:cs="Times New Roman"/>
          <w:sz w:val="28"/>
          <w:szCs w:val="28"/>
        </w:rPr>
        <w:t>.</w:t>
      </w:r>
    </w:p>
    <w:p w14:paraId="26FD796D" w14:textId="77777777" w:rsidR="00A4533F" w:rsidRDefault="00A4533F" w:rsidP="004D2373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Порядок расчета утвержден </w:t>
      </w:r>
      <w:r w:rsidRPr="009740B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40B9">
        <w:rPr>
          <w:rFonts w:ascii="Times New Roman" w:hAnsi="Times New Roman" w:cs="Times New Roman"/>
          <w:sz w:val="28"/>
          <w:szCs w:val="28"/>
        </w:rPr>
        <w:t xml:space="preserve"> Федеральной службы войск национальной гвардии РФ от 15 февраля 2021 г. № 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40B9">
        <w:rPr>
          <w:rFonts w:ascii="Times New Roman" w:hAnsi="Times New Roman" w:cs="Times New Roman"/>
          <w:sz w:val="28"/>
          <w:szCs w:val="28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5281766" w14:textId="2D2161CE" w:rsidR="00A4533F" w:rsidRDefault="00A4533F" w:rsidP="004D2373">
      <w:pPr>
        <w:pStyle w:val="a8"/>
        <w:spacing w:after="0" w:line="276" w:lineRule="auto"/>
        <w:ind w:left="0" w:firstLine="567"/>
        <w:jc w:val="both"/>
        <w:rPr>
          <w:bCs w:val="0"/>
          <w:szCs w:val="28"/>
        </w:rPr>
      </w:pPr>
      <w:r w:rsidRPr="00963929">
        <w:rPr>
          <w:bCs w:val="0"/>
          <w:szCs w:val="28"/>
        </w:rPr>
        <w:t>НМЦК в Ростовской области для стационарного круглосуточного поста</w:t>
      </w:r>
      <w:r>
        <w:rPr>
          <w:bCs w:val="0"/>
          <w:szCs w:val="28"/>
        </w:rPr>
        <w:t xml:space="preserve"> </w:t>
      </w:r>
      <w:r w:rsidRPr="00963929">
        <w:rPr>
          <w:bCs w:val="0"/>
          <w:szCs w:val="28"/>
        </w:rPr>
        <w:t xml:space="preserve">в составе одного охранника составляет </w:t>
      </w:r>
      <w:r w:rsidR="004E5D32" w:rsidRPr="00963929">
        <w:rPr>
          <w:bCs w:val="0"/>
          <w:szCs w:val="28"/>
        </w:rPr>
        <w:t>160 6</w:t>
      </w:r>
      <w:r w:rsidR="004E5D32">
        <w:rPr>
          <w:bCs w:val="0"/>
          <w:szCs w:val="28"/>
        </w:rPr>
        <w:t>08</w:t>
      </w:r>
      <w:r w:rsidR="004E5D32" w:rsidRPr="00963929">
        <w:rPr>
          <w:bCs w:val="0"/>
          <w:szCs w:val="28"/>
        </w:rPr>
        <w:t>,</w:t>
      </w:r>
      <w:r w:rsidR="004E5D32">
        <w:rPr>
          <w:bCs w:val="0"/>
          <w:szCs w:val="28"/>
        </w:rPr>
        <w:t>1</w:t>
      </w:r>
      <w:r w:rsidR="004E5D32" w:rsidRPr="00963929">
        <w:rPr>
          <w:bCs w:val="0"/>
          <w:szCs w:val="28"/>
        </w:rPr>
        <w:t xml:space="preserve">2 </w:t>
      </w:r>
      <w:r w:rsidRPr="00963929">
        <w:rPr>
          <w:bCs w:val="0"/>
          <w:szCs w:val="28"/>
        </w:rPr>
        <w:t>руб.  (Расчет НМЦК произведен из расчета МРОТ в РО 15 350 для работников организаций внебюджетного сектора экономики, которыми являются сотрудники ЧОО</w:t>
      </w:r>
      <w:r>
        <w:rPr>
          <w:bCs w:val="0"/>
          <w:szCs w:val="28"/>
        </w:rPr>
        <w:t xml:space="preserve">, размещен на сайте </w:t>
      </w:r>
      <w:r w:rsidRPr="00963929">
        <w:rPr>
          <w:bCs w:val="0"/>
          <w:szCs w:val="28"/>
        </w:rPr>
        <w:t>61.fkc-ros.ru</w:t>
      </w:r>
      <w:r>
        <w:rPr>
          <w:bCs w:val="0"/>
          <w:szCs w:val="28"/>
        </w:rPr>
        <w:t>)</w:t>
      </w:r>
      <w:r w:rsidRPr="00963929">
        <w:rPr>
          <w:bCs w:val="0"/>
          <w:szCs w:val="28"/>
        </w:rPr>
        <w:t xml:space="preserve">. </w:t>
      </w:r>
    </w:p>
    <w:p w14:paraId="4E1684DD" w14:textId="77777777" w:rsidR="00A4533F" w:rsidRPr="007C2C9D" w:rsidRDefault="00A4533F" w:rsidP="004D2373">
      <w:pPr>
        <w:pStyle w:val="a8"/>
        <w:spacing w:after="0" w:line="276" w:lineRule="auto"/>
        <w:ind w:left="0" w:firstLine="567"/>
        <w:jc w:val="both"/>
        <w:rPr>
          <w:bCs w:val="0"/>
          <w:szCs w:val="28"/>
        </w:rPr>
      </w:pPr>
      <w:r>
        <w:t>О</w:t>
      </w:r>
      <w:r w:rsidRPr="00D0189C">
        <w:t xml:space="preserve">тветственность </w:t>
      </w:r>
      <w:r>
        <w:t xml:space="preserve">заказчика </w:t>
      </w:r>
      <w:r w:rsidRPr="00D0189C">
        <w:t>за несоблюдение порядка определения НМЦК предусмотрена пунктом 2 статьи 7.29.3. КоАП</w:t>
      </w:r>
      <w:r w:rsidRPr="007C2C9D">
        <w:rPr>
          <w:bCs w:val="0"/>
          <w:szCs w:val="28"/>
        </w:rPr>
        <w:t>.</w:t>
      </w:r>
    </w:p>
    <w:p w14:paraId="50F3DFD6" w14:textId="77777777" w:rsidR="00A4533F" w:rsidRPr="00963929" w:rsidRDefault="00A4533F" w:rsidP="004D2373">
      <w:pPr>
        <w:pStyle w:val="a8"/>
        <w:spacing w:after="0" w:line="276" w:lineRule="auto"/>
        <w:ind w:left="0" w:firstLine="567"/>
        <w:jc w:val="both"/>
        <w:rPr>
          <w:bCs w:val="0"/>
          <w:szCs w:val="28"/>
        </w:rPr>
      </w:pPr>
      <w:r w:rsidRPr="00963929">
        <w:rPr>
          <w:bCs w:val="0"/>
          <w:szCs w:val="28"/>
        </w:rPr>
        <w:t xml:space="preserve">С </w:t>
      </w:r>
      <w:r>
        <w:rPr>
          <w:bCs w:val="0"/>
          <w:szCs w:val="28"/>
        </w:rPr>
        <w:t>вышеуказанной</w:t>
      </w:r>
      <w:r w:rsidRPr="00963929">
        <w:rPr>
          <w:bCs w:val="0"/>
          <w:szCs w:val="28"/>
        </w:rPr>
        <w:t xml:space="preserve"> </w:t>
      </w:r>
      <w:r>
        <w:rPr>
          <w:bCs w:val="0"/>
          <w:szCs w:val="28"/>
        </w:rPr>
        <w:t>суммы</w:t>
      </w:r>
      <w:r w:rsidRPr="00963929">
        <w:rPr>
          <w:bCs w:val="0"/>
          <w:szCs w:val="28"/>
        </w:rPr>
        <w:t xml:space="preserve"> начинается аукцион на понижение. Минимальная экономически обоснованная стоимость одного круглосуточного невооруженного поста охраны в Ростовской области составляет 109 401,04 руб. (расчет размещен на сайте 61.fkc-ros.ru). Если итоговая цена контракта ниже этой стоимости, это говорит о возможных нарушениях исполнения контракта со стороны ЧОО.</w:t>
      </w:r>
      <w:r>
        <w:rPr>
          <w:bCs w:val="0"/>
          <w:szCs w:val="28"/>
        </w:rPr>
        <w:t xml:space="preserve"> Такие контракты, заключенные на 2022 г., будут являться предметом общественного контроля.</w:t>
      </w:r>
    </w:p>
    <w:p w14:paraId="36DEEE82" w14:textId="77777777" w:rsidR="00A4533F" w:rsidRDefault="00A4533F" w:rsidP="00D4639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B50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1B50">
        <w:rPr>
          <w:rFonts w:ascii="Times New Roman" w:hAnsi="Times New Roman" w:cs="Times New Roman"/>
          <w:sz w:val="28"/>
          <w:szCs w:val="28"/>
        </w:rPr>
        <w:t>етствии с ч.2 п.1 ст.33</w:t>
      </w:r>
      <w:hyperlink r:id="rId6" w:history="1">
        <w:r w:rsidRPr="000A1B50">
          <w:rPr>
            <w:rFonts w:ascii="Times New Roman" w:hAnsi="Times New Roman" w:cs="Times New Roman"/>
            <w:sz w:val="28"/>
            <w:szCs w:val="28"/>
          </w:rPr>
          <w:t xml:space="preserve">  N 44-ФЗ </w:t>
        </w:r>
      </w:hyperlink>
      <w:r>
        <w:rPr>
          <w:rFonts w:ascii="Times New Roman" w:hAnsi="Times New Roman" w:cs="Times New Roman"/>
          <w:sz w:val="28"/>
          <w:szCs w:val="28"/>
        </w:rPr>
        <w:t>, з</w:t>
      </w:r>
      <w:r w:rsidRPr="000A1B50">
        <w:rPr>
          <w:rFonts w:ascii="Times New Roman" w:hAnsi="Times New Roman" w:cs="Times New Roman"/>
          <w:sz w:val="28"/>
          <w:szCs w:val="28"/>
        </w:rPr>
        <w:t>аказчик должен использовать при составлении описания объекта закупки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1B50">
        <w:rPr>
          <w:rFonts w:ascii="Times New Roman" w:hAnsi="Times New Roman" w:cs="Times New Roman"/>
          <w:sz w:val="28"/>
          <w:szCs w:val="28"/>
        </w:rPr>
        <w:t xml:space="preserve">, касающихся функциональных </w:t>
      </w:r>
      <w:r w:rsidRPr="000A1B50">
        <w:rPr>
          <w:rFonts w:ascii="Times New Roman" w:hAnsi="Times New Roman" w:cs="Times New Roman"/>
          <w:sz w:val="28"/>
          <w:szCs w:val="28"/>
        </w:rPr>
        <w:lastRenderedPageBreak/>
        <w:t>характеристик услуги и качественных характеристик объекта закупки, которые предусмотрены </w:t>
      </w:r>
      <w:hyperlink r:id="rId7" w:history="1">
        <w:r w:rsidRPr="000A1B50">
          <w:rPr>
            <w:rFonts w:ascii="Times New Roman" w:hAnsi="Times New Roman" w:cs="Times New Roman"/>
            <w:sz w:val="28"/>
            <w:szCs w:val="28"/>
          </w:rPr>
          <w:t>техническими регламентами</w:t>
        </w:r>
      </w:hyperlink>
      <w:r w:rsidRPr="000A1B50">
        <w:rPr>
          <w:rFonts w:ascii="Times New Roman" w:hAnsi="Times New Roman" w:cs="Times New Roman"/>
          <w:sz w:val="28"/>
          <w:szCs w:val="28"/>
        </w:rPr>
        <w:t>, принятыми в соответствии с </w:t>
      </w:r>
      <w:hyperlink r:id="rId8" w:anchor="block_4" w:history="1">
        <w:r w:rsidRPr="000A1B5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A1B50">
        <w:rPr>
          <w:rFonts w:ascii="Times New Roman" w:hAnsi="Times New Roman" w:cs="Times New Roman"/>
          <w:sz w:val="28"/>
          <w:szCs w:val="28"/>
        </w:rPr>
        <w:t> 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 </w:t>
      </w:r>
      <w:hyperlink r:id="rId9" w:history="1">
        <w:r w:rsidRPr="000A1B5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A1B50">
        <w:rPr>
          <w:rFonts w:ascii="Times New Roman" w:hAnsi="Times New Roman" w:cs="Times New Roman"/>
          <w:sz w:val="28"/>
          <w:szCs w:val="28"/>
        </w:rPr>
        <w:t> Российской Федерации о стандартизации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1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приняты следующие государственные и профессиональные регламенты (ГОСТы):</w:t>
      </w:r>
    </w:p>
    <w:p w14:paraId="2170BBEF" w14:textId="77777777" w:rsidR="00A4533F" w:rsidRPr="00D46393" w:rsidRDefault="00A4533F" w:rsidP="00D46393">
      <w:pPr>
        <w:pStyle w:val="a8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szCs w:val="28"/>
        </w:rPr>
      </w:pPr>
      <w:r w:rsidRPr="00D46393">
        <w:rPr>
          <w:szCs w:val="28"/>
        </w:rPr>
        <w:t>ГОСТ Р 59588-2021 - Оказание охранных услуг на объектах медицинских организаций;</w:t>
      </w:r>
    </w:p>
    <w:p w14:paraId="7CE676F8" w14:textId="77777777" w:rsidR="00A4533F" w:rsidRPr="0014708F" w:rsidRDefault="00A4533F" w:rsidP="004D2373">
      <w:pPr>
        <w:pStyle w:val="a8"/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4708F">
        <w:rPr>
          <w:szCs w:val="28"/>
        </w:rPr>
        <w:t xml:space="preserve">ГОСТ Р 58485-2019 </w:t>
      </w:r>
      <w:r>
        <w:rPr>
          <w:szCs w:val="28"/>
        </w:rPr>
        <w:t xml:space="preserve">- </w:t>
      </w:r>
      <w:r w:rsidRPr="0014708F">
        <w:rPr>
          <w:szCs w:val="28"/>
        </w:rPr>
        <w:t>Оказание охранных услуг на объектах дошкольных, общеобразовательных и профессиональных образовательных организаций</w:t>
      </w:r>
      <w:r>
        <w:rPr>
          <w:szCs w:val="28"/>
        </w:rPr>
        <w:t>;</w:t>
      </w:r>
    </w:p>
    <w:p w14:paraId="306EFC4F" w14:textId="77777777" w:rsidR="00A4533F" w:rsidRDefault="00A4533F" w:rsidP="004D2373">
      <w:pPr>
        <w:pStyle w:val="a8"/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14708F">
        <w:rPr>
          <w:szCs w:val="28"/>
        </w:rPr>
        <w:t xml:space="preserve">ГОСТ Р 59044-2020 </w:t>
      </w:r>
      <w:r>
        <w:rPr>
          <w:szCs w:val="28"/>
        </w:rPr>
        <w:t xml:space="preserve">- </w:t>
      </w:r>
      <w:r w:rsidRPr="0014708F">
        <w:rPr>
          <w:szCs w:val="28"/>
        </w:rPr>
        <w:t>Оказание охранных услуг, связанных с принятием соответствующих мер реагирования на сигнальную информацию технических средств охраны.</w:t>
      </w:r>
    </w:p>
    <w:p w14:paraId="2CD2320D" w14:textId="77777777" w:rsidR="00A4533F" w:rsidRDefault="00A4533F" w:rsidP="00C74CFA">
      <w:pPr>
        <w:pStyle w:val="a8"/>
        <w:numPr>
          <w:ilvl w:val="0"/>
          <w:numId w:val="3"/>
        </w:numPr>
        <w:shd w:val="clear" w:color="auto" w:fill="FFFFFF"/>
        <w:spacing w:after="0" w:line="276" w:lineRule="auto"/>
        <w:ind w:left="709" w:hanging="142"/>
        <w:jc w:val="both"/>
        <w:rPr>
          <w:szCs w:val="28"/>
        </w:rPr>
      </w:pPr>
      <w:r w:rsidRPr="00D46393">
        <w:rPr>
          <w:szCs w:val="28"/>
        </w:rPr>
        <w:t xml:space="preserve"> приказ Минтруда и соцзащиты РФ №1010 н 11.12.2015 г. «Об утверждении профессионального стандарта «Работник по</w:t>
      </w:r>
      <w:r>
        <w:rPr>
          <w:szCs w:val="28"/>
        </w:rPr>
        <w:t xml:space="preserve"> </w:t>
      </w:r>
      <w:r w:rsidRPr="00D46393">
        <w:rPr>
          <w:szCs w:val="28"/>
        </w:rPr>
        <w:t>обеспечению охраны образовательных организаций»</w:t>
      </w:r>
      <w:r>
        <w:rPr>
          <w:szCs w:val="28"/>
        </w:rPr>
        <w:t>.</w:t>
      </w:r>
    </w:p>
    <w:p w14:paraId="16D6DDEA" w14:textId="77777777" w:rsidR="00A4533F" w:rsidRPr="00D46393" w:rsidRDefault="00A4533F" w:rsidP="001F78FE">
      <w:pPr>
        <w:pStyle w:val="a8"/>
        <w:shd w:val="clear" w:color="auto" w:fill="FFFFFF"/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Ответственность за утверждение </w:t>
      </w:r>
      <w:r w:rsidRPr="001F78FE">
        <w:rPr>
          <w:szCs w:val="28"/>
        </w:rPr>
        <w:t>конкурсной документации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 </w:t>
      </w:r>
      <w:r w:rsidRPr="001F78FE">
        <w:rPr>
          <w:szCs w:val="28"/>
        </w:rPr>
        <w:t xml:space="preserve"> нарушением</w:t>
      </w:r>
      <w:proofErr w:type="gramEnd"/>
      <w:r w:rsidRPr="001F78FE">
        <w:rPr>
          <w:szCs w:val="28"/>
        </w:rPr>
        <w:t xml:space="preserve"> требований, предусмотренных законод</w:t>
      </w:r>
      <w:r>
        <w:rPr>
          <w:szCs w:val="28"/>
        </w:rPr>
        <w:t>ательством Российской Федерации, предусмотрена ч.4.2 ст.7.30 КоАП РФ</w:t>
      </w:r>
    </w:p>
    <w:p w14:paraId="4C0C0E88" w14:textId="77777777" w:rsidR="00A4533F" w:rsidRDefault="00A4533F" w:rsidP="004D237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372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2142">
        <w:rPr>
          <w:rFonts w:ascii="Times New Roman" w:hAnsi="Times New Roman" w:cs="Times New Roman"/>
          <w:sz w:val="28"/>
          <w:szCs w:val="28"/>
        </w:rPr>
        <w:t xml:space="preserve">т. 94 </w:t>
      </w:r>
      <w:r w:rsidRPr="009740B9">
        <w:rPr>
          <w:rFonts w:ascii="Times New Roman" w:hAnsi="Times New Roman" w:cs="Times New Roman"/>
          <w:sz w:val="28"/>
          <w:szCs w:val="28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2142">
        <w:rPr>
          <w:rFonts w:ascii="Times New Roman" w:hAnsi="Times New Roman" w:cs="Times New Roman"/>
          <w:sz w:val="28"/>
          <w:szCs w:val="28"/>
        </w:rPr>
        <w:t>исполнитель в соответствии с условиями контракта обязан предоставить заказчику результаты оказания услуги, предусмотренные контрактом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2142">
        <w:rPr>
          <w:rFonts w:ascii="Times New Roman" w:hAnsi="Times New Roman" w:cs="Times New Roman"/>
          <w:sz w:val="28"/>
          <w:szCs w:val="28"/>
        </w:rPr>
        <w:t>Для проверки предоставленных исполнителем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 </w:t>
      </w:r>
      <w:hyperlink r:id="rId10" w:anchor="dst100483" w:history="1">
        <w:r w:rsidRPr="00372142">
          <w:rPr>
            <w:rFonts w:ascii="Times New Roman" w:hAnsi="Times New Roman" w:cs="Times New Roman"/>
            <w:sz w:val="28"/>
            <w:szCs w:val="28"/>
          </w:rPr>
          <w:t>эксперты</w:t>
        </w:r>
      </w:hyperlink>
      <w:r w:rsidRPr="00372142">
        <w:rPr>
          <w:rFonts w:ascii="Times New Roman" w:hAnsi="Times New Roman" w:cs="Times New Roman"/>
          <w:sz w:val="28"/>
          <w:szCs w:val="28"/>
        </w:rPr>
        <w:t>, экспертные организации на основании контрактов, заключенных в соответствии с настоящим Федеральным законом.</w:t>
      </w:r>
    </w:p>
    <w:p w14:paraId="05965DE9" w14:textId="77777777" w:rsidR="00A4533F" w:rsidRPr="009740B9" w:rsidRDefault="00A4533F" w:rsidP="004D237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РГ №149 2020 г. в соответствии с частью 11 ст.34 44 ФЗ введен типовой контракт на оказание охранных услуг, обязательный для применения всеми заказчиками. Разделом 7 предусмотрены штрафные санкции к исполнителю за ненадлежащее исполнение условий контракта. Контроль за качеством оказания охранных услуг возложен на заказчика. </w:t>
      </w:r>
    </w:p>
    <w:p w14:paraId="749D79B3" w14:textId="77777777" w:rsidR="00A4533F" w:rsidRDefault="00A4533F" w:rsidP="004D237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372">
        <w:rPr>
          <w:rFonts w:ascii="Times New Roman" w:hAnsi="Times New Roman" w:cs="Times New Roman"/>
          <w:sz w:val="28"/>
          <w:szCs w:val="28"/>
        </w:rPr>
        <w:t xml:space="preserve">Ответственность заказчика за приемку оказанной услуги в случае несоответствия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Pr="00B22372">
        <w:rPr>
          <w:rFonts w:ascii="Times New Roman" w:hAnsi="Times New Roman" w:cs="Times New Roman"/>
          <w:sz w:val="28"/>
          <w:szCs w:val="28"/>
        </w:rPr>
        <w:t xml:space="preserve"> услуги условиям контракта, если выявленное несоответствие не устранено исполнителем и привело к дополнительному расходованию средств соответствующего бюджета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4D06">
        <w:rPr>
          <w:rFonts w:ascii="Times New Roman" w:hAnsi="Times New Roman" w:cs="Times New Roman"/>
          <w:sz w:val="28"/>
          <w:szCs w:val="28"/>
        </w:rPr>
        <w:t>предусмотрена пунктом</w:t>
      </w:r>
      <w:r w:rsidRPr="00B22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ст.7.32 КоАП РФ.</w:t>
      </w:r>
    </w:p>
    <w:p w14:paraId="5852C1DC" w14:textId="77777777" w:rsidR="00A4533F" w:rsidRDefault="00A4533F" w:rsidP="004D237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Ростовское региональное отраслевое объединение работодателей в сфере охраны и безопасности на </w:t>
      </w:r>
      <w:r w:rsidRPr="00571C68">
        <w:rPr>
          <w:rFonts w:ascii="Times New Roman" w:hAnsi="Times New Roman" w:cs="Times New Roman"/>
          <w:b/>
          <w:sz w:val="28"/>
          <w:szCs w:val="28"/>
        </w:rPr>
        <w:t>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основе оказывает помощь и содействие государственным и муниципальным заказчикам по вопросам приобретения охранной услуги (описание объекта закупки, формирование технического задания и т.д.), контроля за качеством охранных услуг (фиксация нарушений, претензионная работа, проведение экспертизы), одностороннее расторжение контракта в случае получения услуги ненадлежащего качества.</w:t>
      </w:r>
    </w:p>
    <w:p w14:paraId="79E3FC3F" w14:textId="77777777" w:rsidR="00A4533F" w:rsidRDefault="00A4533F" w:rsidP="004D237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преследуем цель наказать, привлечь, оштрафовать. Основная задача нашей деятельности-приведение качества охранных услуг в соответствие с заключенными контрактами, законодательством РФ,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эффективным и целевым расходование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средств, выделенных на охрану, помощь в организации охраны объектов, сводящей к минимуму последствия возможных нештатных ситуаций.</w:t>
      </w:r>
    </w:p>
    <w:p w14:paraId="3A50E93C" w14:textId="77777777" w:rsidR="00A4533F" w:rsidRDefault="00A4533F" w:rsidP="004D237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тел. +7 928 125-27-80, Ткачев Андрей Юрьевич</w:t>
      </w:r>
    </w:p>
    <w:p w14:paraId="4D106F73" w14:textId="77777777" w:rsidR="00A4533F" w:rsidRPr="00571C68" w:rsidRDefault="00A4533F" w:rsidP="004D237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571C6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Pr="00571C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info@61.fkc-ros.ru</w:t>
        </w:r>
      </w:hyperlink>
      <w:r w:rsidRPr="00571C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A9061A7" w14:textId="77777777" w:rsidR="00A4533F" w:rsidRPr="00571C68" w:rsidRDefault="00A4533F" w:rsidP="004D237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сайт: 61.fkc-</w:t>
      </w:r>
      <w:r>
        <w:rPr>
          <w:rFonts w:ascii="Times New Roman" w:hAnsi="Times New Roman" w:cs="Times New Roman"/>
          <w:sz w:val="28"/>
          <w:szCs w:val="28"/>
          <w:lang w:val="en-US"/>
        </w:rPr>
        <w:t>ros.ru</w:t>
      </w:r>
    </w:p>
    <w:p w14:paraId="5FFEF319" w14:textId="77777777" w:rsidR="00A4533F" w:rsidRPr="00571C68" w:rsidRDefault="00A4533F" w:rsidP="00B20525">
      <w:pPr>
        <w:pStyle w:val="22"/>
        <w:shd w:val="clear" w:color="auto" w:fill="auto"/>
        <w:spacing w:line="276" w:lineRule="auto"/>
        <w:ind w:firstLine="567"/>
        <w:rPr>
          <w:lang w:val="en-US"/>
        </w:rPr>
      </w:pPr>
    </w:p>
    <w:tbl>
      <w:tblPr>
        <w:tblStyle w:val="a3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3097"/>
        <w:gridCol w:w="3489"/>
      </w:tblGrid>
      <w:tr w:rsidR="00A4533F" w:rsidRPr="00897DA9" w14:paraId="312FF19D" w14:textId="77777777" w:rsidTr="00757E2C">
        <w:tc>
          <w:tcPr>
            <w:tcW w:w="3905" w:type="dxa"/>
          </w:tcPr>
          <w:p w14:paraId="24A30C60" w14:textId="53E960CC" w:rsidR="00A4533F" w:rsidRPr="00897DA9" w:rsidRDefault="00A4533F" w:rsidP="00E96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7" w:type="dxa"/>
          </w:tcPr>
          <w:p w14:paraId="1E1E88FB" w14:textId="0A3FA79B" w:rsidR="00A4533F" w:rsidRPr="00897DA9" w:rsidRDefault="00A4533F" w:rsidP="00E966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12506499" w14:textId="324E8B38" w:rsidR="00A4533F" w:rsidRPr="00897DA9" w:rsidRDefault="00A4533F" w:rsidP="00E966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4D813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  <w:sectPr w:rsidR="00A4533F" w:rsidSect="00CE2490">
          <w:pgSz w:w="11906" w:h="16838"/>
          <w:pgMar w:top="851" w:right="707" w:bottom="709" w:left="1134" w:header="708" w:footer="708" w:gutter="0"/>
          <w:pgNumType w:start="1"/>
          <w:cols w:space="708"/>
          <w:docGrid w:linePitch="360"/>
        </w:sectPr>
      </w:pPr>
    </w:p>
    <w:p w14:paraId="2CF201AF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5B375391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748DB5F8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7B8AD231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17AE9F9C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212DD640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76812007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52B69105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40E65CFC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608A062A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2A1B5233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752D394E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62FC49D0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03A8A0BC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772AFC8C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4727862A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5252C41C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4C3A519E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745A065E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3CB33A89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2B2979DD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p w14:paraId="7134D6CB" w14:textId="77777777" w:rsidR="00A4533F" w:rsidRDefault="00A4533F" w:rsidP="009740B9">
      <w:pPr>
        <w:pStyle w:val="2"/>
        <w:spacing w:before="0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740B9">
        <w:rPr>
          <w:rFonts w:ascii="Times New Roman" w:hAnsi="Times New Roman" w:cs="Times New Roman"/>
          <w:color w:val="auto"/>
          <w:sz w:val="24"/>
          <w:szCs w:val="24"/>
        </w:rPr>
        <w:t>Приложение №1</w:t>
      </w:r>
    </w:p>
    <w:p w14:paraId="13211CD7" w14:textId="77777777" w:rsidR="00A4533F" w:rsidRPr="00CE23AB" w:rsidRDefault="00A4533F" w:rsidP="00974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C1794" w14:textId="77777777" w:rsidR="00A4533F" w:rsidRPr="00C60A8F" w:rsidRDefault="00A4533F" w:rsidP="00D6686A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0A8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Правильный расчет НМЦК в соответствии с приказом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РГ</w:t>
      </w:r>
      <w:r w:rsidRPr="00C60A8F">
        <w:rPr>
          <w:rFonts w:ascii="Times New Roman" w:hAnsi="Times New Roman" w:cs="Times New Roman"/>
          <w:color w:val="auto"/>
          <w:sz w:val="24"/>
          <w:szCs w:val="24"/>
        </w:rPr>
        <w:t xml:space="preserve"> №45</w:t>
      </w:r>
    </w:p>
    <w:p w14:paraId="000180CE" w14:textId="77777777" w:rsidR="00A4533F" w:rsidRPr="00C60A8F" w:rsidRDefault="00A4533F" w:rsidP="00D6686A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4B71203" w14:textId="77777777" w:rsidR="00A4533F" w:rsidRPr="00C60A8F" w:rsidRDefault="00A4533F" w:rsidP="00D6686A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Нормы рабочего времени в 2022</w:t>
      </w:r>
      <w:r w:rsidRPr="00C60A8F">
        <w:rPr>
          <w:rFonts w:ascii="Times New Roman" w:hAnsi="Times New Roman" w:cs="Times New Roman"/>
          <w:color w:val="auto"/>
          <w:sz w:val="24"/>
          <w:szCs w:val="24"/>
        </w:rPr>
        <w:t> 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9"/>
        <w:gridCol w:w="4966"/>
      </w:tblGrid>
      <w:tr w:rsidR="00A4533F" w:rsidRPr="00C60A8F" w14:paraId="50E19E6D" w14:textId="77777777" w:rsidTr="00A80F1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D942" w14:textId="77777777" w:rsidR="00A4533F" w:rsidRPr="00CD6102" w:rsidRDefault="00A4533F" w:rsidP="003D4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Кол-во дней за 2022 год</w:t>
            </w:r>
            <w:r w:rsidRPr="00CD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календарных — 365</w:t>
            </w:r>
            <w:r w:rsidRPr="00CD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рабочие дни — 247</w:t>
            </w:r>
            <w:r w:rsidRPr="00CD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выходных/праздничных — 118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63FD" w14:textId="77777777" w:rsidR="00A4533F" w:rsidRPr="00CD6102" w:rsidRDefault="00A4533F" w:rsidP="003D415A">
            <w:pPr>
              <w:spacing w:after="2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Рабочее время за 2022 год (в часах)</w:t>
            </w:r>
            <w:r w:rsidRPr="00CD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40-часовой неделе — 1 973,00</w:t>
            </w:r>
            <w:r w:rsidRPr="00CD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36-часовой неделе — 1 775,40</w:t>
            </w:r>
            <w:r w:rsidRPr="00CD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61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24-часовой неделе — 1 182,60</w:t>
            </w:r>
            <w:r w:rsidRPr="00CD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A879A4E" w14:textId="77777777" w:rsidR="00A4533F" w:rsidRPr="00C60A8F" w:rsidRDefault="00A4533F" w:rsidP="00D66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37A9F5" w14:textId="77777777" w:rsidR="00A4533F" w:rsidRPr="00C60A8F" w:rsidRDefault="00A4533F" w:rsidP="00D66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8F">
        <w:rPr>
          <w:rFonts w:ascii="Times New Roman" w:hAnsi="Times New Roman" w:cs="Times New Roman"/>
          <w:sz w:val="24"/>
          <w:szCs w:val="24"/>
        </w:rPr>
        <w:t>НМЦК = (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e>
        </m:nary>
      </m:oMath>
      <w:r w:rsidRPr="00C60A8F">
        <w:rPr>
          <w:rFonts w:ascii="Times New Roman" w:hAnsi="Times New Roman" w:cs="Times New Roman"/>
          <w:sz w:val="24"/>
          <w:szCs w:val="24"/>
        </w:rPr>
        <w:t xml:space="preserve"> (</w:t>
      </w:r>
      <w:r w:rsidRPr="00C60A8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C60A8F">
        <w:rPr>
          <w:rFonts w:ascii="Times New Roman" w:hAnsi="Times New Roman" w:cs="Times New Roman"/>
          <w:sz w:val="24"/>
          <w:szCs w:val="24"/>
        </w:rPr>
        <w:t xml:space="preserve"> * </w:t>
      </w:r>
      <w:r w:rsidRPr="00C60A8F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Pr="00C60A8F">
        <w:rPr>
          <w:rFonts w:ascii="Times New Roman" w:hAnsi="Times New Roman" w:cs="Times New Roman"/>
          <w:sz w:val="24"/>
          <w:szCs w:val="24"/>
        </w:rPr>
        <w:t xml:space="preserve">) + КР + П + СТСО + СЖ) * </w:t>
      </w:r>
      <w:r w:rsidRPr="00C60A8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C60A8F">
        <w:rPr>
          <w:rFonts w:ascii="Times New Roman" w:hAnsi="Times New Roman" w:cs="Times New Roman"/>
          <w:sz w:val="24"/>
          <w:szCs w:val="24"/>
        </w:rPr>
        <w:t>инфл</w:t>
      </w:r>
      <w:proofErr w:type="spellEnd"/>
      <w:r w:rsidRPr="00C60A8F">
        <w:rPr>
          <w:rFonts w:ascii="Times New Roman" w:hAnsi="Times New Roman" w:cs="Times New Roman"/>
          <w:sz w:val="24"/>
          <w:szCs w:val="24"/>
        </w:rPr>
        <w:t xml:space="preserve"> + НДС</w:t>
      </w:r>
    </w:p>
    <w:p w14:paraId="557FED26" w14:textId="77777777" w:rsidR="00A4533F" w:rsidRPr="00C60A8F" w:rsidRDefault="00A4533F" w:rsidP="00D66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8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C60A8F">
        <w:rPr>
          <w:rFonts w:ascii="Times New Roman" w:hAnsi="Times New Roman" w:cs="Times New Roman"/>
          <w:sz w:val="24"/>
          <w:szCs w:val="24"/>
        </w:rPr>
        <w:t xml:space="preserve"> = (БЗП + ДН + ДВП + ДРК + РО + СВ) * </w:t>
      </w:r>
      <w:r w:rsidRPr="00C60A8F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14:paraId="27B9C025" w14:textId="77777777" w:rsidR="00A4533F" w:rsidRPr="00C60A8F" w:rsidRDefault="00A4533F" w:rsidP="00D66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A8F">
        <w:rPr>
          <w:rFonts w:ascii="Times New Roman" w:hAnsi="Times New Roman" w:cs="Times New Roman"/>
          <w:sz w:val="24"/>
          <w:szCs w:val="24"/>
        </w:rPr>
        <w:t>БЗП = МРОТ / СНР</w:t>
      </w:r>
    </w:p>
    <w:p w14:paraId="1C0D1027" w14:textId="77777777" w:rsidR="00A4533F" w:rsidRPr="00E90F55" w:rsidRDefault="00A4533F" w:rsidP="00D668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СНР = 1973</w:t>
      </w:r>
      <w:r w:rsidRPr="00C60A8F">
        <w:rPr>
          <w:rFonts w:ascii="Times New Roman" w:hAnsi="Times New Roman" w:cs="Times New Roman"/>
          <w:sz w:val="24"/>
          <w:szCs w:val="24"/>
        </w:rPr>
        <w:t xml:space="preserve"> / 12 мес. = </w:t>
      </w:r>
      <w:r w:rsidRPr="00E90F55">
        <w:rPr>
          <w:rFonts w:ascii="Times New Roman" w:hAnsi="Times New Roman" w:cs="Times New Roman"/>
          <w:sz w:val="24"/>
          <w:szCs w:val="24"/>
        </w:rPr>
        <w:t>164,42</w:t>
      </w:r>
    </w:p>
    <w:p w14:paraId="3C31714C" w14:textId="77777777" w:rsidR="00A4533F" w:rsidRPr="00E90F55" w:rsidRDefault="00A4533F" w:rsidP="00D668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0F55">
        <w:rPr>
          <w:rFonts w:ascii="Times New Roman" w:hAnsi="Times New Roman" w:cs="Times New Roman"/>
          <w:sz w:val="24"/>
          <w:szCs w:val="24"/>
        </w:rPr>
        <w:t>С</w:t>
      </w:r>
      <w:r w:rsidRPr="00E90F5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90F55">
        <w:rPr>
          <w:rFonts w:ascii="Times New Roman" w:hAnsi="Times New Roman" w:cs="Times New Roman"/>
          <w:sz w:val="24"/>
          <w:szCs w:val="24"/>
        </w:rPr>
        <w:t xml:space="preserve"> - прямые затраты на часовую работу </w:t>
      </w:r>
      <w:r w:rsidRPr="00E90F5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90F55">
        <w:rPr>
          <w:rFonts w:ascii="Times New Roman" w:hAnsi="Times New Roman" w:cs="Times New Roman"/>
          <w:sz w:val="24"/>
          <w:szCs w:val="24"/>
        </w:rPr>
        <w:t>-го поста охраны в составе одного работника в смене в рублях, определенные в соответствии с пунктом 3 настоящего Порядка; К</w:t>
      </w:r>
      <w:r w:rsidRPr="00E90F5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90F55">
        <w:rPr>
          <w:rFonts w:ascii="Times New Roman" w:hAnsi="Times New Roman" w:cs="Times New Roman"/>
          <w:sz w:val="24"/>
          <w:szCs w:val="24"/>
        </w:rPr>
        <w:t xml:space="preserve"> - количество часов работы работника по контракту на </w:t>
      </w:r>
      <w:r w:rsidRPr="00E90F5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90F55">
        <w:rPr>
          <w:rFonts w:ascii="Times New Roman" w:hAnsi="Times New Roman" w:cs="Times New Roman"/>
          <w:sz w:val="24"/>
          <w:szCs w:val="24"/>
        </w:rPr>
        <w:t>-ом посту охраны.</w:t>
      </w:r>
    </w:p>
    <w:p w14:paraId="4FD4553D" w14:textId="77777777" w:rsidR="00A4533F" w:rsidRPr="00E90F55" w:rsidRDefault="00A4533F" w:rsidP="00D668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D6DCD4" w14:textId="77777777" w:rsidR="00A4533F" w:rsidRPr="00E90F55" w:rsidRDefault="00A4533F" w:rsidP="00D668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55">
        <w:rPr>
          <w:rFonts w:ascii="Times New Roman" w:hAnsi="Times New Roman" w:cs="Times New Roman"/>
          <w:b/>
          <w:sz w:val="24"/>
          <w:szCs w:val="24"/>
        </w:rPr>
        <w:t>Расчет НМЦК</w:t>
      </w:r>
    </w:p>
    <w:p w14:paraId="10E2786D" w14:textId="77777777" w:rsidR="00A4533F" w:rsidRPr="00E90F55" w:rsidRDefault="00A4533F" w:rsidP="00D668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55">
        <w:rPr>
          <w:rFonts w:ascii="Times New Roman" w:hAnsi="Times New Roman" w:cs="Times New Roman"/>
          <w:b/>
          <w:sz w:val="24"/>
          <w:szCs w:val="24"/>
        </w:rPr>
        <w:t>для стационарного поста охраны из МРОТ 15 350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3300"/>
        <w:gridCol w:w="5777"/>
      </w:tblGrid>
      <w:tr w:rsidR="00A4533F" w:rsidRPr="00E90F55" w14:paraId="3240F800" w14:textId="77777777" w:rsidTr="00E90F5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50B" w14:textId="77777777" w:rsidR="00A4533F" w:rsidRPr="00E90F55" w:rsidRDefault="00A4533F" w:rsidP="003D415A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80B8" w14:textId="77777777" w:rsidR="00A4533F" w:rsidRPr="00E90F55" w:rsidRDefault="00A4533F" w:rsidP="003D415A">
            <w:pPr>
              <w:ind w:left="-57" w:right="-5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3F" w:rsidRPr="00E90F55" w14:paraId="04CF06C1" w14:textId="77777777" w:rsidTr="00E90F5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D3B9" w14:textId="77777777" w:rsidR="00A4533F" w:rsidRPr="00E90F55" w:rsidRDefault="00A4533F" w:rsidP="003D415A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0AC4" w14:textId="77777777" w:rsidR="00A4533F" w:rsidRPr="00E90F55" w:rsidRDefault="00A4533F" w:rsidP="003D415A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БЗП – базовая зарплата в час БЗП = МРОТ / СНР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E1A3" w14:textId="77777777" w:rsidR="00A4533F" w:rsidRPr="00E90F55" w:rsidRDefault="00A4533F" w:rsidP="003D415A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15350/164,42 = 93,36</w:t>
            </w:r>
          </w:p>
        </w:tc>
      </w:tr>
      <w:tr w:rsidR="00A4533F" w:rsidRPr="00E90F55" w14:paraId="1F56896A" w14:textId="77777777" w:rsidTr="00E90F5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DA1B" w14:textId="77777777" w:rsidR="00A4533F" w:rsidRPr="00E90F55" w:rsidRDefault="00A4533F" w:rsidP="003D415A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F5EE" w14:textId="77777777" w:rsidR="00A4533F" w:rsidRPr="00E90F55" w:rsidRDefault="00A4533F" w:rsidP="003D415A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90F55">
              <w:rPr>
                <w:rFonts w:ascii="Times New Roman" w:hAnsi="Times New Roman" w:cs="Times New Roman"/>
                <w:sz w:val="24"/>
                <w:szCs w:val="24"/>
              </w:rPr>
              <w:t xml:space="preserve"> – доплата за работу в ночные часы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872D" w14:textId="77777777" w:rsidR="00A4533F" w:rsidRPr="00E90F55" w:rsidRDefault="00A4533F" w:rsidP="003D415A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93,36*20%/3 = 6,22</w:t>
            </w:r>
          </w:p>
        </w:tc>
      </w:tr>
      <w:tr w:rsidR="00A4533F" w:rsidRPr="00E90F55" w14:paraId="279671F4" w14:textId="77777777" w:rsidTr="00E90F5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6699" w14:textId="77777777" w:rsidR="00A4533F" w:rsidRPr="00E90F55" w:rsidRDefault="00A4533F" w:rsidP="003D415A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D32C" w14:textId="77777777" w:rsidR="00A4533F" w:rsidRPr="00E90F55" w:rsidRDefault="00A4533F" w:rsidP="003D415A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Двп</w:t>
            </w:r>
            <w:proofErr w:type="spellEnd"/>
            <w:r w:rsidRPr="00E90F55">
              <w:rPr>
                <w:rFonts w:ascii="Times New Roman" w:hAnsi="Times New Roman" w:cs="Times New Roman"/>
                <w:sz w:val="24"/>
                <w:szCs w:val="24"/>
              </w:rPr>
              <w:t xml:space="preserve"> – доплата за работу в выходные и праздничные дни (ст. 153 ТК РФ)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25C8" w14:textId="77777777" w:rsidR="00A4533F" w:rsidRPr="00E90F55" w:rsidRDefault="00A4533F" w:rsidP="003D415A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A4533F" w:rsidRPr="00E90F55" w14:paraId="0F5F6B5D" w14:textId="77777777" w:rsidTr="00E90F5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60B3" w14:textId="77777777" w:rsidR="00A4533F" w:rsidRPr="00E90F55" w:rsidRDefault="00A4533F" w:rsidP="003D415A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A2AC" w14:textId="77777777" w:rsidR="00A4533F" w:rsidRPr="00E90F55" w:rsidRDefault="00A4533F" w:rsidP="003D415A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РО – резерв на отпуск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CB1" w14:textId="77777777" w:rsidR="00A4533F" w:rsidRPr="00E90F55" w:rsidRDefault="00A4533F" w:rsidP="003D415A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(93,36+6,22+3,58)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/12 = 8,60</w:t>
            </w:r>
          </w:p>
        </w:tc>
      </w:tr>
      <w:tr w:rsidR="00A4533F" w:rsidRPr="00E90F55" w14:paraId="5FE8A527" w14:textId="77777777" w:rsidTr="00E90F5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96F1" w14:textId="77777777" w:rsidR="00A4533F" w:rsidRPr="00E90F55" w:rsidRDefault="00A4533F" w:rsidP="003D415A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7DD2" w14:textId="77777777" w:rsidR="00A4533F" w:rsidRPr="00E90F55" w:rsidRDefault="00A4533F" w:rsidP="003D415A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СВ – страховые взносы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B06A" w14:textId="77777777" w:rsidR="00A4533F" w:rsidRPr="00E90F55" w:rsidRDefault="00A4533F" w:rsidP="003D415A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(93,36+6,22+3,58+8,60) *30,2% = 33,75</w:t>
            </w:r>
          </w:p>
        </w:tc>
      </w:tr>
      <w:tr w:rsidR="00A4533F" w:rsidRPr="00E90F55" w14:paraId="1DF2EECF" w14:textId="77777777" w:rsidTr="00E90F5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B06A" w14:textId="77777777" w:rsidR="00A4533F" w:rsidRPr="00E90F55" w:rsidRDefault="00A4533F" w:rsidP="003D415A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E3F" w14:textId="77777777" w:rsidR="00A4533F" w:rsidRPr="00E90F55" w:rsidRDefault="00A4533F" w:rsidP="003D415A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Сu</w:t>
            </w:r>
            <w:proofErr w:type="spellEnd"/>
            <w:r w:rsidRPr="00E90F55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0DF2" w14:textId="77777777" w:rsidR="00A4533F" w:rsidRPr="00E90F55" w:rsidRDefault="00A4533F" w:rsidP="003D415A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(93,36+6,22+3,58+8,60+33,75) *730 = 106 222,30</w:t>
            </w:r>
          </w:p>
        </w:tc>
      </w:tr>
      <w:tr w:rsidR="00A4533F" w:rsidRPr="00E90F55" w14:paraId="67556E4F" w14:textId="77777777" w:rsidTr="00E90F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3246" w14:textId="77777777" w:rsidR="00A4533F" w:rsidRPr="00E90F55" w:rsidRDefault="00A4533F" w:rsidP="003D415A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Общая сумма всех прямых затрат</w:t>
            </w:r>
          </w:p>
        </w:tc>
      </w:tr>
      <w:tr w:rsidR="00A4533F" w:rsidRPr="00E90F55" w14:paraId="1A50C2AD" w14:textId="77777777" w:rsidTr="00E90F5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C675" w14:textId="77777777" w:rsidR="00A4533F" w:rsidRPr="00E90F55" w:rsidRDefault="00A4533F" w:rsidP="003D415A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56B6" w14:textId="77777777" w:rsidR="00A4533F" w:rsidRPr="00E90F55" w:rsidRDefault="00A4533F" w:rsidP="003D415A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КР (Косвенные расходы 20%)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66A6" w14:textId="77777777" w:rsidR="00A4533F" w:rsidRPr="00E90F55" w:rsidRDefault="00A4533F" w:rsidP="003D415A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106 222,30*20% = 21 244,46</w:t>
            </w:r>
          </w:p>
        </w:tc>
      </w:tr>
      <w:tr w:rsidR="00A4533F" w:rsidRPr="00E90F55" w14:paraId="48112DF8" w14:textId="77777777" w:rsidTr="00E90F5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2E8E" w14:textId="77777777" w:rsidR="00A4533F" w:rsidRPr="00E90F55" w:rsidRDefault="00A4533F" w:rsidP="003D415A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D0E8" w14:textId="77777777" w:rsidR="00A4533F" w:rsidRPr="00E90F55" w:rsidRDefault="00A4533F" w:rsidP="003D415A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НП (Норма прибыли 5%)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2D86" w14:textId="77777777" w:rsidR="00A4533F" w:rsidRPr="00E90F55" w:rsidRDefault="00A4533F" w:rsidP="003D415A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(106 222,30+21 244,46) *5% = 6373,34</w:t>
            </w:r>
          </w:p>
        </w:tc>
      </w:tr>
      <w:tr w:rsidR="00A4533F" w:rsidRPr="00E90F55" w14:paraId="41175474" w14:textId="77777777" w:rsidTr="00E90F5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5716" w14:textId="77777777" w:rsidR="00A4533F" w:rsidRPr="00E90F55" w:rsidRDefault="00A4533F" w:rsidP="003D415A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D895" w14:textId="77777777" w:rsidR="00A4533F" w:rsidRPr="00E90F55" w:rsidRDefault="00A4533F" w:rsidP="003D415A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НДС 20%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B40F" w14:textId="77777777" w:rsidR="00A4533F" w:rsidRPr="00E90F55" w:rsidRDefault="00A4533F" w:rsidP="003D415A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(106 222,30+21 244,46+6373,34) *20% = 26 768,02</w:t>
            </w:r>
          </w:p>
        </w:tc>
      </w:tr>
      <w:tr w:rsidR="00A4533F" w:rsidRPr="00C60A8F" w14:paraId="59BFDE15" w14:textId="77777777" w:rsidTr="00E90F5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B80A" w14:textId="77777777" w:rsidR="00A4533F" w:rsidRPr="00E90F55" w:rsidRDefault="00A4533F" w:rsidP="003D415A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1F90" w14:textId="77777777" w:rsidR="00A4533F" w:rsidRPr="00E90F55" w:rsidRDefault="00A4533F" w:rsidP="003D415A">
            <w:pPr>
              <w:spacing w:after="25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55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1 круглосуточного поста в составе 1 охранника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BF8A" w14:textId="77777777" w:rsidR="00A4533F" w:rsidRPr="00C60A8F" w:rsidRDefault="00A4533F" w:rsidP="003D415A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F55">
              <w:rPr>
                <w:rFonts w:ascii="Times New Roman" w:hAnsi="Times New Roman" w:cs="Times New Roman"/>
                <w:sz w:val="24"/>
                <w:szCs w:val="24"/>
              </w:rPr>
              <w:t>106 222,30+21 244,46+6373,34+26 768,02=</w:t>
            </w:r>
            <w:r w:rsidRPr="00E90F55">
              <w:rPr>
                <w:rFonts w:ascii="Times New Roman" w:hAnsi="Times New Roman" w:cs="Times New Roman"/>
                <w:b/>
                <w:sz w:val="24"/>
                <w:szCs w:val="24"/>
              </w:rPr>
              <w:t>160 608,12</w:t>
            </w:r>
          </w:p>
        </w:tc>
      </w:tr>
    </w:tbl>
    <w:p w14:paraId="30B7BA60" w14:textId="77777777" w:rsidR="00A4533F" w:rsidRPr="001E50E0" w:rsidRDefault="00A4533F" w:rsidP="00D668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75BA30" w14:textId="77777777" w:rsidR="00A4533F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  <w:sectPr w:rsidR="00A4533F" w:rsidSect="00CE2490">
          <w:type w:val="continuous"/>
          <w:pgSz w:w="11906" w:h="16838"/>
          <w:pgMar w:top="851" w:right="707" w:bottom="709" w:left="1134" w:header="708" w:footer="708" w:gutter="0"/>
          <w:cols w:space="708"/>
          <w:docGrid w:linePitch="360"/>
        </w:sectPr>
      </w:pPr>
    </w:p>
    <w:p w14:paraId="26747797" w14:textId="77777777" w:rsidR="00A4533F" w:rsidRPr="00897DA9" w:rsidRDefault="00A4533F" w:rsidP="00A509F6">
      <w:pPr>
        <w:pStyle w:val="22"/>
        <w:shd w:val="clear" w:color="auto" w:fill="auto"/>
        <w:spacing w:line="240" w:lineRule="auto"/>
        <w:rPr>
          <w:sz w:val="32"/>
          <w:szCs w:val="32"/>
        </w:rPr>
      </w:pPr>
    </w:p>
    <w:sectPr w:rsidR="00A4533F" w:rsidRPr="00897DA9" w:rsidSect="00A4533F">
      <w:type w:val="continuous"/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F750A58"/>
    <w:multiLevelType w:val="hybridMultilevel"/>
    <w:tmpl w:val="8B084B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317C1004"/>
    <w:multiLevelType w:val="multilevel"/>
    <w:tmpl w:val="5CD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52A83FFB"/>
    <w:multiLevelType w:val="hybridMultilevel"/>
    <w:tmpl w:val="7D9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60"/>
    <w:rsid w:val="00015DCF"/>
    <w:rsid w:val="00024240"/>
    <w:rsid w:val="00031D78"/>
    <w:rsid w:val="00032902"/>
    <w:rsid w:val="00036002"/>
    <w:rsid w:val="000A1B50"/>
    <w:rsid w:val="000A2E68"/>
    <w:rsid w:val="000C315E"/>
    <w:rsid w:val="000C6FB1"/>
    <w:rsid w:val="000E1EDA"/>
    <w:rsid w:val="000F5177"/>
    <w:rsid w:val="000F5E00"/>
    <w:rsid w:val="0014708F"/>
    <w:rsid w:val="00150044"/>
    <w:rsid w:val="00155565"/>
    <w:rsid w:val="00155893"/>
    <w:rsid w:val="00171745"/>
    <w:rsid w:val="00181E59"/>
    <w:rsid w:val="00187EF9"/>
    <w:rsid w:val="001B2426"/>
    <w:rsid w:val="001D588C"/>
    <w:rsid w:val="001F78FE"/>
    <w:rsid w:val="0025083D"/>
    <w:rsid w:val="00250DCC"/>
    <w:rsid w:val="00252258"/>
    <w:rsid w:val="00257B46"/>
    <w:rsid w:val="00265277"/>
    <w:rsid w:val="00286E8E"/>
    <w:rsid w:val="002B2657"/>
    <w:rsid w:val="002B487F"/>
    <w:rsid w:val="002D60D8"/>
    <w:rsid w:val="00357B78"/>
    <w:rsid w:val="0037074E"/>
    <w:rsid w:val="00372142"/>
    <w:rsid w:val="003830A4"/>
    <w:rsid w:val="003B6349"/>
    <w:rsid w:val="003D4F61"/>
    <w:rsid w:val="0040101E"/>
    <w:rsid w:val="00403003"/>
    <w:rsid w:val="00415AAC"/>
    <w:rsid w:val="00417D18"/>
    <w:rsid w:val="00444D59"/>
    <w:rsid w:val="00456D7F"/>
    <w:rsid w:val="004A4CFF"/>
    <w:rsid w:val="004B3EA0"/>
    <w:rsid w:val="004C46A2"/>
    <w:rsid w:val="004D2373"/>
    <w:rsid w:val="004E5D32"/>
    <w:rsid w:val="004E7B47"/>
    <w:rsid w:val="004F60A8"/>
    <w:rsid w:val="00553BBA"/>
    <w:rsid w:val="00565119"/>
    <w:rsid w:val="00571C68"/>
    <w:rsid w:val="005B6B14"/>
    <w:rsid w:val="005B6E9D"/>
    <w:rsid w:val="005D09DD"/>
    <w:rsid w:val="005D3D37"/>
    <w:rsid w:val="005E191E"/>
    <w:rsid w:val="0065489E"/>
    <w:rsid w:val="00680E8F"/>
    <w:rsid w:val="0068281E"/>
    <w:rsid w:val="006A59F0"/>
    <w:rsid w:val="00705878"/>
    <w:rsid w:val="00722616"/>
    <w:rsid w:val="00724B91"/>
    <w:rsid w:val="00725765"/>
    <w:rsid w:val="007429A6"/>
    <w:rsid w:val="007449AC"/>
    <w:rsid w:val="0074513A"/>
    <w:rsid w:val="00745C7C"/>
    <w:rsid w:val="00757E2C"/>
    <w:rsid w:val="00770C24"/>
    <w:rsid w:val="007A727D"/>
    <w:rsid w:val="007C2C9D"/>
    <w:rsid w:val="007D05D4"/>
    <w:rsid w:val="007D5AA5"/>
    <w:rsid w:val="00804D06"/>
    <w:rsid w:val="00805BB7"/>
    <w:rsid w:val="008139D6"/>
    <w:rsid w:val="00845E2D"/>
    <w:rsid w:val="008677BE"/>
    <w:rsid w:val="0087530F"/>
    <w:rsid w:val="00886623"/>
    <w:rsid w:val="00887926"/>
    <w:rsid w:val="00897385"/>
    <w:rsid w:val="00897DA9"/>
    <w:rsid w:val="008A0400"/>
    <w:rsid w:val="008A7FF5"/>
    <w:rsid w:val="008C37AC"/>
    <w:rsid w:val="008E796B"/>
    <w:rsid w:val="00927498"/>
    <w:rsid w:val="0094034E"/>
    <w:rsid w:val="00963929"/>
    <w:rsid w:val="00966AFC"/>
    <w:rsid w:val="009740B9"/>
    <w:rsid w:val="00985F63"/>
    <w:rsid w:val="00994F20"/>
    <w:rsid w:val="009D0E02"/>
    <w:rsid w:val="009D5EA9"/>
    <w:rsid w:val="009E1A54"/>
    <w:rsid w:val="00A003DD"/>
    <w:rsid w:val="00A1217E"/>
    <w:rsid w:val="00A15EE7"/>
    <w:rsid w:val="00A251DF"/>
    <w:rsid w:val="00A315AE"/>
    <w:rsid w:val="00A33F08"/>
    <w:rsid w:val="00A4533F"/>
    <w:rsid w:val="00A509F6"/>
    <w:rsid w:val="00A62C07"/>
    <w:rsid w:val="00AA0982"/>
    <w:rsid w:val="00AC05A7"/>
    <w:rsid w:val="00AC69E2"/>
    <w:rsid w:val="00AE0126"/>
    <w:rsid w:val="00AE2569"/>
    <w:rsid w:val="00B02AC6"/>
    <w:rsid w:val="00B051B4"/>
    <w:rsid w:val="00B20525"/>
    <w:rsid w:val="00B22372"/>
    <w:rsid w:val="00B65901"/>
    <w:rsid w:val="00B802D4"/>
    <w:rsid w:val="00B97B51"/>
    <w:rsid w:val="00BB70EB"/>
    <w:rsid w:val="00BD5A76"/>
    <w:rsid w:val="00C13D6E"/>
    <w:rsid w:val="00C46CE8"/>
    <w:rsid w:val="00C569EF"/>
    <w:rsid w:val="00C94860"/>
    <w:rsid w:val="00CC4C7F"/>
    <w:rsid w:val="00CE2490"/>
    <w:rsid w:val="00CE7F62"/>
    <w:rsid w:val="00CF5119"/>
    <w:rsid w:val="00D25F8E"/>
    <w:rsid w:val="00D34CC3"/>
    <w:rsid w:val="00D4352E"/>
    <w:rsid w:val="00D4497A"/>
    <w:rsid w:val="00D46393"/>
    <w:rsid w:val="00D522F1"/>
    <w:rsid w:val="00D6686A"/>
    <w:rsid w:val="00D738A3"/>
    <w:rsid w:val="00D80B4F"/>
    <w:rsid w:val="00D95BF6"/>
    <w:rsid w:val="00D969D1"/>
    <w:rsid w:val="00DA6B61"/>
    <w:rsid w:val="00E0577E"/>
    <w:rsid w:val="00E24BF6"/>
    <w:rsid w:val="00E278A6"/>
    <w:rsid w:val="00E34855"/>
    <w:rsid w:val="00EA3789"/>
    <w:rsid w:val="00EC1E78"/>
    <w:rsid w:val="00EE43AD"/>
    <w:rsid w:val="00EF40B4"/>
    <w:rsid w:val="00F27A5F"/>
    <w:rsid w:val="00F41E0A"/>
    <w:rsid w:val="00F41EC3"/>
    <w:rsid w:val="00F57632"/>
    <w:rsid w:val="00F64E0F"/>
    <w:rsid w:val="00F67D61"/>
    <w:rsid w:val="00F75D47"/>
    <w:rsid w:val="00F7647C"/>
    <w:rsid w:val="00F8362A"/>
    <w:rsid w:val="00F85500"/>
    <w:rsid w:val="00F878F5"/>
    <w:rsid w:val="00F934B2"/>
    <w:rsid w:val="00FD3ECA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867D"/>
  <w15:chartTrackingRefBased/>
  <w15:docId w15:val="{0DAEC9C2-FBC1-4B91-A341-6743D8C4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2A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CE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7A727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A72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A72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A727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und">
    <w:name w:val="und"/>
    <w:basedOn w:val="a0"/>
    <w:rsid w:val="007A727D"/>
  </w:style>
  <w:style w:type="character" w:customStyle="1" w:styleId="a7">
    <w:name w:val="Гипертекстовая ссылка"/>
    <w:basedOn w:val="a0"/>
    <w:uiPriority w:val="99"/>
    <w:rsid w:val="004B3EA0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02A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4E0F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D95BF6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BF6"/>
    <w:pPr>
      <w:widowControl w:val="0"/>
      <w:shd w:val="clear" w:color="auto" w:fill="FFFFFF"/>
      <w:spacing w:after="0" w:line="278" w:lineRule="exact"/>
      <w:jc w:val="both"/>
    </w:pPr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740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963929"/>
    <w:pPr>
      <w:spacing w:line="240" w:lineRule="auto"/>
      <w:ind w:left="720"/>
      <w:contextualSpacing/>
    </w:pPr>
    <w:rPr>
      <w:rFonts w:ascii="Times New Roman" w:hAnsi="Times New Roman" w:cs="Times New Roman"/>
      <w:bCs/>
      <w:sz w:val="28"/>
      <w:szCs w:val="24"/>
    </w:rPr>
  </w:style>
  <w:style w:type="paragraph" w:customStyle="1" w:styleId="headertext">
    <w:name w:val="headertext"/>
    <w:basedOn w:val="a"/>
    <w:rsid w:val="002B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2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45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9354/1b93c134b90c6071b4dc3f495464b75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542575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353464/" TargetMode="External"/><Relationship Id="rId11" Type="http://schemas.openxmlformats.org/officeDocument/2006/relationships/hyperlink" Target="mailto:info@61.fkc-ros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144624/e01aa1d10c7a2aeee4843069e7c0e09f716298f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08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 Сергей Юрьевич</dc:creator>
  <cp:keywords/>
  <dc:description/>
  <cp:lastModifiedBy>Админ</cp:lastModifiedBy>
  <cp:revision>3</cp:revision>
  <cp:lastPrinted>2019-10-31T16:12:00Z</cp:lastPrinted>
  <dcterms:created xsi:type="dcterms:W3CDTF">2021-10-19T09:25:00Z</dcterms:created>
  <dcterms:modified xsi:type="dcterms:W3CDTF">2021-10-19T09:26:00Z</dcterms:modified>
</cp:coreProperties>
</file>